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both"/>
        <w:rPr>
          <w:rFonts w:ascii="Times New Roman" w:eastAsia="方正小标宋简体" w:cs="Times New Roman" w:hAnsi="Times New Roman" w:hint="eastAsia"/>
          <w:sz w:val="44"/>
          <w:szCs w:val="44"/>
          <w:lang w:val="en-US" w:eastAsia="zh-CN"/>
          <w:highlight w:val="auto"/>
        </w:rPr>
      </w:pPr>
    </w:p>
    <w:p>
      <w:pPr>
        <w:spacing w:line="600" w:lineRule="exact"/>
        <w:jc w:val="center"/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eastAsia="zh-CN"/>
          <w:highlight w:val="auto"/>
        </w:rPr>
      </w:pPr>
      <w:r>
        <w:rPr>
          <w:rFonts w:ascii="宋体" w:eastAsia="宋体" w:cs="宋体" w:hint="eastAsia"/>
          <w:sz w:val="44"/>
          <w:szCs w:val="44"/>
          <w:lang w:val="en-US" w:eastAsia="zh-CN"/>
          <w:highlight w:val="auto"/>
        </w:rPr>
        <w:t>乐至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eastAsia="zh-CN"/>
          <w:highlight w:val="auto"/>
        </w:rPr>
        <w:t>县市场监督管理局</w:t>
      </w:r>
    </w:p>
    <w:p>
      <w:pPr>
        <w:spacing w:line="600" w:lineRule="exact"/>
        <w:jc w:val="center"/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</w:pP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关于</w:t>
      </w:r>
      <w:r>
        <w:rPr>
          <w:rFonts w:ascii="宋体" w:eastAsia="宋体" w:cs="宋体" w:hint="eastAsia"/>
          <w:sz w:val="44"/>
          <w:szCs w:val="44"/>
          <w:lang w:val="en-US" w:eastAsia="zh-CN"/>
          <w:highlight w:val="auto"/>
        </w:rPr>
        <w:t>2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批次食品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  <w:highlight w:val="auto"/>
        </w:rPr>
        <w:t>不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合格情况的通告</w:t>
      </w:r>
    </w:p>
    <w:p>
      <w:pPr>
        <w:spacing w:line="600" w:lineRule="exact"/>
        <w:jc w:val="center"/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</w:pP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（202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  <w:highlight w:val="auto"/>
        </w:rPr>
        <w:t>4</w:t>
      </w:r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年第</w:t>
      </w:r>
      <w:r>
        <w:rPr>
          <w:rFonts w:ascii="宋体" w:eastAsia="宋体" w:cs="宋体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2</w:t>
      </w:r>
      <w:bookmarkStart w:id="0" w:name="_GoBack"/>
      <w:bookmarkEnd w:id="0"/>
      <w:r>
        <w:rPr>
          <w:rFonts w:ascii="宋体" w:eastAsia="宋体" w:cs="宋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  <w:t>号）</w:t>
      </w:r>
    </w:p>
    <w:p>
      <w:pPr>
        <w:spacing w:line="600" w:lineRule="exact"/>
        <w:ind w:firstLineChars="200" w:firstLine="880"/>
        <w:jc w:val="center"/>
        <w:rPr>
          <w:rFonts w:ascii="Times New Roman" w:eastAsia="方正小标宋简体" w:cs="Times New Roman" w:hAnsi="Times New Roman"/>
          <w:color w:val="000000"/>
          <w:sz w:val="44"/>
          <w:szCs w:val="44"/>
          <w14:textFill>
            <w14:solidFill>
              <w14:srgbClr w14:val="000000"/>
            </w14:solidFill>
          </w14:textFill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 w:hAnsi="仿宋" w:hint="eastAsia"/>
          <w:color w:val="auto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近期，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乐至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县市场监督管理局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组织食品安全监督抽检，抽取食用油、油脂及其制品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餐饮食品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调味品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糕点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肉制品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食用农产品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蔬菜制品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薯类和膨化食品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水果制品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速冻食品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饮料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11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大类食品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30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批次样品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，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检出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2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批次样品不合格。发现的主要问题是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二氧化硫超标</w:t>
      </w:r>
      <w:r>
        <w:rPr>
          <w:rFonts w:ascii="仿宋" w:eastAsia="仿宋" w:cs="仿宋" w:hAnsi="仿宋" w:hint="eastAsia"/>
          <w:color w:val="auto"/>
          <w:sz w:val="32"/>
          <w:szCs w:val="32"/>
          <w:lang w:eastAsia="zh-CN"/>
          <w:highlight w:val="auto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</w:pP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对抽检中发现的不合格食品，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乐至县市场监督管理局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 xml:space="preserve">已立即组织开展核查处置，督促查清产品流向，控制风险；对违法违规行为，依法从严处理；及时将企业采取的风险防控措施和核查处置情况向社会公开。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</w:pP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现将监督抽检不合格食品具体情况通告如下：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Chars="100" w:firstLine="320"/>
        <w:textAlignment w:val="auto"/>
        <w:rPr>
          <w:rFonts w:hint="eastAsia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1、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新都区新民镇万事达副食配送部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销售的“</w:t>
      </w: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柿饼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”,</w:t>
      </w: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二氧化硫残留量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项目不符合食品安全国家标准规定。检验机构为赛旺检验检测认证有限公司。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Chars="100" w:firstLine="320"/>
        <w:textAlignment w:val="auto"/>
        <w:rPr>
          <w:rFonts w:ascii="仿宋" w:eastAsia="仿宋" w:cs="仿宋" w:hAnsi="仿宋" w:hint="eastAsia"/>
          <w:sz w:val="32"/>
          <w:szCs w:val="32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2、</w:t>
      </w:r>
      <w:r>
        <w:rPr>
          <w:rFonts w:ascii="仿宋" w:eastAsia="仿宋" w:cs="仿宋" w:hAnsi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衡水市东袖食品有限公司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销售的“</w:t>
      </w: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地瓜干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”,</w:t>
      </w:r>
      <w:r>
        <w:rPr>
          <w:rFonts w:ascii="仿宋" w:eastAsia="仿宋" w:cs="仿宋" w:hAnsi="仿宋" w:hint="eastAsia"/>
          <w:sz w:val="32"/>
          <w:szCs w:val="32"/>
          <w:lang w:val="en-US" w:eastAsia="zh-CN"/>
          <w:highlight w:val="auto"/>
        </w:rPr>
        <w:t>二氧化硫残留量</w:t>
      </w:r>
      <w:r>
        <w:rPr>
          <w:rFonts w:ascii="仿宋" w:eastAsia="仿宋" w:cs="仿宋" w:hAnsi="仿宋" w:hint="eastAsia"/>
          <w:sz w:val="32"/>
          <w:szCs w:val="32"/>
          <w:highlight w:val="auto"/>
        </w:rPr>
        <w:t>项目不符合食品安全国家标准规定。检验机构为赛旺检验检测认证有限公司。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sz w:val="32"/>
          <w:szCs w:val="32"/>
          <w:lang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Times New Roman" w:eastAsia="仿宋_GB2312" w:cs="Times New Roman" w:hAnsi="Times New Roman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/>
          <w:sz w:val="32"/>
          <w:szCs w:val="32"/>
          <w:highlight w:val="auto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Times New Roman" w:eastAsia="仿宋_GB2312" w:cs="Times New Roman" w:hAnsi="Times New Roman" w:hint="eastAsia"/>
          <w:color w:val="auto"/>
          <w:sz w:val="32"/>
          <w:szCs w:val="32"/>
          <w:lang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Times New Roman" w:eastAsia="仿宋_GB2312" w:cs="Times New Roman" w:hAnsi="Times New Roman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sz w:val="32"/>
          <w:szCs w:val="32"/>
          <w:highlight w:val="auto"/>
        </w:rPr>
        <w:t>附件：</w:t>
      </w:r>
      <w:r>
        <w:rPr>
          <w:rFonts w:ascii="Times New Roman" w:eastAsia="仿宋_GB2312" w:cs="Times New Roman" w:hAnsi="Times New Roman"/>
          <w:sz w:val="32"/>
          <w:szCs w:val="32"/>
          <w:highlight w:val="auto"/>
        </w:rPr>
        <w:t>1.本次检验项目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firstLine="1155"/>
        <w:textAlignment w:val="auto"/>
        <w:rPr>
          <w:rFonts w:ascii="仿宋" w:eastAsia="仿宋" w:cs="仿宋" w:hAnsi="仿宋" w:hint="eastAsia"/>
          <w:sz w:val="32"/>
          <w:szCs w:val="32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highlight w:val="auto"/>
        </w:rPr>
        <w:t>合格食品抽检信息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firstLine="1155"/>
        <w:textAlignment w:val="auto"/>
        <w:rPr>
          <w:rFonts w:ascii="仿宋" w:eastAsia="仿宋" w:cs="仿宋" w:hAnsi="仿宋" w:hint="eastAsia"/>
          <w:sz w:val="32"/>
          <w:szCs w:val="32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highlight w:val="auto"/>
        </w:rPr>
        <w:t>不合格食品抽检信息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firstLine="1155"/>
        <w:textAlignment w:val="auto"/>
        <w:rPr>
          <w:rFonts w:ascii="仿宋" w:eastAsia="仿宋" w:cs="仿宋" w:hAnsi="仿宋" w:hint="eastAsia"/>
          <w:sz w:val="32"/>
          <w:szCs w:val="32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highlight w:val="auto"/>
        </w:rPr>
        <w:t>部分不合格项目解读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firstLineChars="500" w:firstLine="1600"/>
        <w:jc w:val="both"/>
        <w:textAlignment w:val="auto"/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</w:pPr>
    </w:p>
    <w:p>
      <w:pPr>
        <w:pStyle w:val="15"/>
        <w:rPr>
          <w:rFonts w:hint="eastAsia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firstLineChars="200" w:firstLine="640"/>
        <w:jc w:val="right"/>
        <w:textAlignment w:val="auto"/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  <w:highlight w:val="auto"/>
        </w:rPr>
        <w:t>乐至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  <w:highlight w:val="auto"/>
        </w:rPr>
        <w:t>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00" w:left="210" w:right="320" w:firstLineChars="200" w:firstLine="640"/>
        <w:jc w:val="center"/>
        <w:textAlignment w:val="auto"/>
        <w:rPr>
          <w:rFonts w:ascii="Times New Roman" w:eastAsia="仿宋_GB2312" w:cs="Times New Roman" w:hAnsi="Times New Roman"/>
          <w:color w:val="auto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color w:val="FF0000"/>
          <w:sz w:val="32"/>
          <w:szCs w:val="32"/>
          <w:lang w:val="en-US" w:eastAsia="zh-CN"/>
          <w:highlight w:val="auto"/>
        </w:rPr>
        <w:t xml:space="preserve">                          </w:t>
      </w:r>
      <w:r>
        <w:rPr>
          <w:rFonts w:ascii="Times New Roman" w:eastAsia="仿宋_GB2312" w:cs="Times New Roman" w:hAnsi="Times New Roman"/>
          <w:color w:val="auto"/>
          <w:sz w:val="32"/>
          <w:szCs w:val="32"/>
          <w:highlight w:val="auto"/>
        </w:rPr>
        <w:t>202</w:t>
      </w:r>
      <w:r>
        <w:rPr>
          <w:rFonts w:ascii="Times New Roman" w:eastAsia="仿宋_GB2312" w:cs="Times New Roman" w:hAnsi="Times New Roman" w:hint="eastAsia"/>
          <w:color w:val="auto"/>
          <w:sz w:val="32"/>
          <w:szCs w:val="32"/>
          <w:lang w:val="en-US" w:eastAsia="zh-CN"/>
          <w:highlight w:val="auto"/>
        </w:rPr>
        <w:t>4</w:t>
      </w:r>
      <w:r>
        <w:rPr>
          <w:rFonts w:ascii="Times New Roman" w:eastAsia="仿宋_GB2312" w:cs="Times New Roman" w:hAnsi="Times New Roman"/>
          <w:color w:val="auto"/>
          <w:sz w:val="32"/>
          <w:szCs w:val="32"/>
          <w:highlight w:val="auto"/>
        </w:rPr>
        <w:t>年</w:t>
      </w:r>
      <w:r>
        <w:rPr>
          <w:rFonts w:ascii="Times New Roman" w:eastAsia="仿宋_GB2312" w:cs="Times New Roman" w:hAnsi="Times New Roman" w:hint="eastAsia"/>
          <w:color w:val="auto"/>
          <w:sz w:val="32"/>
          <w:szCs w:val="32"/>
          <w:lang w:val="en-US" w:eastAsia="zh-CN"/>
          <w:highlight w:val="auto"/>
        </w:rPr>
        <w:t>04</w:t>
      </w:r>
      <w:r>
        <w:rPr>
          <w:rFonts w:ascii="Times New Roman" w:eastAsia="仿宋_GB2312" w:cs="Times New Roman" w:hAnsi="Times New Roman"/>
          <w:color w:val="auto"/>
          <w:sz w:val="32"/>
          <w:szCs w:val="32"/>
          <w:highlight w:val="auto"/>
        </w:rPr>
        <w:t>月</w:t>
      </w:r>
      <w:r>
        <w:rPr>
          <w:rFonts w:ascii="Times New Roman" w:eastAsia="仿宋_GB2312" w:cs="Times New Roman" w:hAnsi="Times New Roman" w:hint="eastAsia"/>
          <w:color w:val="auto"/>
          <w:sz w:val="32"/>
          <w:szCs w:val="32"/>
          <w:lang w:val="en-US" w:eastAsia="zh-CN"/>
          <w:highlight w:val="auto"/>
        </w:rPr>
        <w:t>22</w:t>
      </w:r>
      <w:r>
        <w:rPr>
          <w:rFonts w:ascii="Times New Roman" w:eastAsia="仿宋_GB2312" w:cs="Times New Roman" w:hAnsi="Times New Roman"/>
          <w:color w:val="auto"/>
          <w:sz w:val="32"/>
          <w:szCs w:val="32"/>
          <w:highlight w:val="auto"/>
        </w:rPr>
        <w:t>日</w:t>
      </w:r>
    </w:p>
    <w:p>
      <w:pPr>
        <w:pageBreakBefore/>
        <w:widowControl w:val="0"/>
        <w:adjustRightInd w:val="0"/>
        <w:spacing w:line="600" w:lineRule="exact"/>
        <w:outlineLvl w:val="0"/>
        <w:rPr>
          <w:rFonts w:ascii="Times New Roman" w:eastAsia="黑体" w:cs="Times New Roman" w:hAnsi="Times New Roman"/>
          <w:sz w:val="32"/>
          <w:szCs w:val="32"/>
          <w:highlight w:val="auto"/>
        </w:rPr>
      </w:pPr>
      <w:r>
        <w:rPr>
          <w:rFonts w:ascii="Times New Roman" w:eastAsia="黑体" w:cs="Times New Roman" w:hAnsi="Times New Roman"/>
          <w:sz w:val="32"/>
          <w:szCs w:val="32"/>
          <w:highlight w:val="auto"/>
        </w:rPr>
        <w:t>附件1</w:t>
      </w:r>
    </w:p>
    <w:p>
      <w:pPr>
        <w:adjustRightInd w:val="0"/>
        <w:spacing w:line="600" w:lineRule="exact"/>
        <w:ind w:firstLineChars="200" w:firstLine="640"/>
        <w:rPr>
          <w:rFonts w:ascii="宋体" w:eastAsia="宋体" w:cs="宋体" w:hint="eastAsia"/>
          <w:sz w:val="32"/>
          <w:szCs w:val="32"/>
          <w:highlight w:val="auto"/>
        </w:rPr>
      </w:pPr>
    </w:p>
    <w:p>
      <w:pPr>
        <w:adjustRightInd w:val="0"/>
        <w:spacing w:line="600" w:lineRule="exact"/>
        <w:jc w:val="center"/>
        <w:outlineLvl w:val="0"/>
        <w:rPr>
          <w:rFonts w:ascii="宋体" w:eastAsia="宋体" w:cs="宋体" w:hint="eastAsia"/>
          <w:sz w:val="44"/>
          <w:szCs w:val="44"/>
          <w:highlight w:val="auto"/>
        </w:rPr>
      </w:pPr>
      <w:r>
        <w:rPr>
          <w:rFonts w:ascii="宋体" w:eastAsia="宋体" w:cs="宋体" w:hint="eastAsia"/>
          <w:sz w:val="44"/>
          <w:szCs w:val="44"/>
          <w:highlight w:val="auto"/>
        </w:rPr>
        <w:t>本次检验项目</w:t>
      </w:r>
    </w:p>
    <w:p>
      <w:pPr>
        <w:adjustRightInd w:val="0"/>
        <w:spacing w:line="600" w:lineRule="exact"/>
        <w:ind w:firstLineChars="200" w:firstLine="640"/>
        <w:outlineLvl w:val="9"/>
        <w:rPr>
          <w:rFonts w:ascii="Times New Roman" w:eastAsia="黑体" w:cs="Times New Roman" w:hAnsi="Times New Roman" w:hint="eastAsia"/>
          <w:sz w:val="32"/>
          <w:szCs w:val="32"/>
          <w:highlight w:val="auto"/>
        </w:rPr>
      </w:pP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  <w:t>食用油、油脂及其制品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 w:hint="eastAsia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highlight w:val="auto"/>
        </w:rPr>
        <w:t>一）抽检依据</w:t>
      </w:r>
    </w:p>
    <w:p>
      <w:pPr>
        <w:spacing w:line="600" w:lineRule="exact"/>
        <w:ind w:firstLineChars="200" w:firstLine="640"/>
        <w:rPr>
          <w:rFonts w:eastAsia="仿宋" w:hint="eastAsia"/>
          <w:sz w:val="32"/>
          <w:szCs w:val="32"/>
          <w:highlight w:val="auto"/>
        </w:rPr>
      </w:pPr>
      <w:r>
        <w:rPr>
          <w:rFonts w:eastAsia="仿宋" w:hint="eastAsia"/>
          <w:sz w:val="32"/>
          <w:szCs w:val="32"/>
          <w:lang w:eastAsia="zh-CN"/>
          <w:highlight w:val="auto"/>
        </w:rPr>
        <w:t>GB 2716-2018《食品安全国家标准植物油》、GB 2761-2017《食品安全国家标准 食品中真菌毒素限量》、GB 2762-2017《食品安全国家标准 食品中污染物限量》、GB 2762-2022《食品安全国家标准 食品中污染物限量》、GB2760-2014《食品安全国家标准 食品添加剂使用标准》、GB 10146-2015《食品安全国家标准食用动物油脂》等标准。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 w:hint="eastAsia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 w:hint="eastAsia"/>
          <w:bCs/>
          <w:sz w:val="32"/>
          <w:szCs w:val="32"/>
          <w:highlight w:val="auto"/>
        </w:rPr>
        <w:t>（二）检验项目</w:t>
      </w:r>
    </w:p>
    <w:p>
      <w:pPr>
        <w:spacing w:line="600" w:lineRule="exact"/>
        <w:ind w:firstLineChars="200" w:firstLine="640"/>
        <w:rPr>
          <w:rFonts w:eastAsia="仿宋" w:hint="eastAsia"/>
          <w:sz w:val="32"/>
          <w:szCs w:val="32"/>
          <w:highlight w:val="auto"/>
        </w:rPr>
      </w:pPr>
      <w:r>
        <w:rPr>
          <w:rFonts w:eastAsia="仿宋" w:hint="eastAsia"/>
          <w:sz w:val="32"/>
          <w:szCs w:val="32"/>
          <w:highlight w:val="auto"/>
        </w:rPr>
        <w:t>菜籽油检验项目包括酸值（以KHO计)、过氧化值、铅（以Pb计）、黄曲霉毒素 B1、特丁基对苯二酚（TBHQ）、苯并[a]芘、乙基麦芽酚。</w:t>
      </w:r>
    </w:p>
    <w:p>
      <w:pPr>
        <w:pStyle w:val="15"/>
        <w:ind w:firstLineChars="200" w:firstLine="640"/>
        <w:rPr>
          <w:rFonts w:ascii="Calibri" w:eastAsia="仿宋" w:cs="Arial" w:hAnsi="Calibri" w:hint="eastAsia"/>
          <w:kern w:val="2"/>
          <w:sz w:val="32"/>
          <w:szCs w:val="32"/>
          <w:lang w:val="en-US" w:eastAsia="zh-CN" w:bidi="ar-SA"/>
          <w:highlight w:val="auto"/>
        </w:rPr>
      </w:pPr>
      <w:r>
        <w:rPr>
          <w:rFonts w:ascii="Calibri" w:eastAsia="仿宋" w:cs="Arial" w:hAnsi="Calibri" w:hint="eastAsia"/>
          <w:kern w:val="2"/>
          <w:sz w:val="32"/>
          <w:szCs w:val="32"/>
          <w:lang w:val="en-US" w:eastAsia="zh-CN" w:bidi="ar-SA"/>
          <w:highlight w:val="auto"/>
        </w:rPr>
        <w:t>大豆油</w:t>
      </w:r>
      <w:r>
        <w:rPr>
          <w:rFonts w:eastAsia="仿宋" w:hint="eastAsia"/>
          <w:sz w:val="32"/>
          <w:szCs w:val="32"/>
          <w:highlight w:val="auto"/>
        </w:rPr>
        <w:t>检验项目包括酸值（以KHO计)、过氧化值、铅（以Pb计）、黄曲霉毒素 B1、特丁基对苯二酚（TBHQ）、苯并[a]芘、乙基麦芽酚。</w:t>
      </w:r>
    </w:p>
    <w:p>
      <w:pPr>
        <w:pStyle w:val="15"/>
        <w:ind w:firstLineChars="200" w:firstLine="640"/>
        <w:rPr>
          <w:rFonts w:hint="eastAsia"/>
          <w:highlight w:val="auto"/>
        </w:rPr>
      </w:pPr>
      <w:r>
        <w:rPr>
          <w:rFonts w:ascii="Calibri" w:eastAsia="仿宋" w:cs="Arial" w:hAnsi="Calibri" w:hint="eastAsia"/>
          <w:kern w:val="2"/>
          <w:sz w:val="32"/>
          <w:szCs w:val="32"/>
          <w:lang w:val="en-US" w:eastAsia="zh-CN" w:bidi="ar-SA"/>
          <w:highlight w:val="auto"/>
        </w:rPr>
        <w:t>其他食用植物油</w:t>
      </w:r>
      <w:r>
        <w:rPr>
          <w:rFonts w:eastAsia="仿宋" w:hint="eastAsia"/>
          <w:sz w:val="32"/>
          <w:szCs w:val="32"/>
          <w:highlight w:val="auto"/>
        </w:rPr>
        <w:t>检验项目包括酸值（以KHO计)、过氧化值、铅（以Pb计）、黄曲霉毒素 B1、特丁基对苯二酚（TBHQ）、苯并[a]芘、乙基麦芽酚。</w:t>
      </w:r>
    </w:p>
    <w:p>
      <w:pPr>
        <w:pStyle w:val="15"/>
        <w:rPr>
          <w:rFonts w:eastAsia="仿宋" w:hint="eastAsia"/>
          <w:lang w:eastAsia="zh-CN"/>
          <w:highlight w:val="auto"/>
        </w:rPr>
      </w:pPr>
      <w:r>
        <w:rPr>
          <w:rFonts w:hint="eastAsia"/>
          <w:highlight w:val="auto"/>
        </w:rPr>
        <w:tab/>
      </w:r>
      <w:r>
        <w:rPr>
          <w:rFonts w:hint="eastAsia"/>
          <w:lang w:val="en-US" w:eastAsia="zh-CN"/>
          <w:highlight w:val="auto"/>
        </w:rPr>
        <w:t xml:space="preserve">  </w:t>
      </w:r>
      <w:r>
        <w:rPr>
          <w:rFonts w:ascii="Calibri" w:eastAsia="仿宋" w:cs="Arial" w:hAnsi="Calibri" w:hint="eastAsia"/>
          <w:kern w:val="2"/>
          <w:sz w:val="32"/>
          <w:szCs w:val="32"/>
          <w:lang w:val="en-US" w:eastAsia="zh-CN" w:bidi="ar-SA"/>
          <w:highlight w:val="auto"/>
        </w:rPr>
        <w:t>食用动物油脂</w:t>
      </w:r>
      <w:r>
        <w:rPr>
          <w:rFonts w:eastAsia="仿宋" w:hint="eastAsia"/>
          <w:sz w:val="32"/>
          <w:szCs w:val="32"/>
          <w:highlight w:val="auto"/>
        </w:rPr>
        <w:t xml:space="preserve">检验项目包括酸值（以KHO计)、过氧化值、铅（以Pb计）、总砷（以 As 计） </w:t>
      </w:r>
      <w:r>
        <w:rPr>
          <w:rFonts w:eastAsia="仿宋" w:hint="eastAsia"/>
          <w:sz w:val="32"/>
          <w:szCs w:val="32"/>
          <w:lang w:eastAsia="zh-CN"/>
          <w:highlight w:val="auto"/>
        </w:rPr>
        <w:t>、丙二醛、苯并[a]芘 。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  <w:t>蔬菜制品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2762-2017《食品安全国家标准 食品中污染物限量》；GB 2760-2014《食品安全国家标准 食品添加剂使用标准》；GB 2714-2015《食品安全国家标准酱腌菜》标准。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酱腌菜检验项目包括亚硝酸盐（以亚硝酸钠计）、二氧化硫残留量、铅（以 Pb 计）、甜蜜素（以环己基氨基磺酸计） 、糖精钠（以糖精计） 、苯甲酸及其钠盐（以苯甲酸计）、山梨酸及其钾盐（以山梨酸计） 、脱氢乙酸及其钠盐(以脱氢乙酸计)、天门冬酰苯丙氨酸甲酯(又名阿斯巴甜）、大肠菌群 。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  <w:t>餐饮食品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2760-2014《食品安全国家标准 食品添加剂使用标准》、GB 14934-2016《食品安全国家标准 消毒餐（饮）具》、GB 19295-2021《食品安全国家标准 速冻面米与调制食品》等标准。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其他调味料（自制）检验项目包括罂粟碱、吗啡、可待因、那可丁。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包子(自制)检验项目包括过氧化值（以脂肪计）、苯甲酸及其钠盐(以苯甲酸计）、山梨酸及其钾盐(以山梨酸计)、糖精钠(以糖精计)。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糕点（自制）检验项目包括苯甲酸及其钠盐(以苯甲酸计）、山梨酸及其钾盐(以山梨酸计)、糖精钠(以糖精计)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调味</w:t>
      </w:r>
      <w:r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  <w:t>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 《食品安全国家标准 食品添加剂使用标准》；GB 2718-2014 《食品安全国家标准 酿造酱》；GB 2761-2017 《食品安全国家标准 食品中真菌毒素限量》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标准。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辣椒酱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检验项目包括氨基酸态氮（以氮计）、二黄曲霉毒素 B1、糖精钠（以糖精计） 、苯甲酸及其钠盐（以苯甲酸计）、山梨酸及其钾盐（以山梨酸计） 、脱氢乙酸及其钠盐(以脱氢乙酸计)、三氯蔗糖。</w:t>
      </w:r>
    </w:p>
    <w:p>
      <w:pPr>
        <w:pStyle w:val="15"/>
        <w:rPr>
          <w:lang w:val="en-US" w:eastAsia="zh-CN"/>
          <w:highlight w:val="auto"/>
        </w:rPr>
      </w:pP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糕点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7099-2015《食品安全国家标准糕点、面包》；GB 2760-2014《食品安全国家标准 食品添加剂使用标准》；GB 2762-2022《食品安全国家标准 食品中污染物限量》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lang w:val="en-US"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糕点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检验项目包括铅(以Pb计)、酸价(以脂肪计)（KOH）、过氧化值(以脂肪计) 、苯甲酸及其钠盐（以苯甲酸计）、山梨酸及其钾盐（以山梨酸计） 、脱氢乙酸及其钠盐(以脱氢乙酸计)、甜蜜素(以环己基氨基磺酸计)。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肉制品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2760-2014《食品安全国家标准 食品添加剂使用标准》；GB 2762-2022《食品安全国家标准 食品中污染物限量》；GB 2730-2015 《食品安全国家标准 腌腊肉制品》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腌腊肉制品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检验项目包括铅(以Pb计)、过氧化值(以脂肪计) 、苯甲酸及其钠盐（以苯甲酸计）、山梨酸及其钾盐（以山梨酸计） 、亚硝酸盐(以亚硝酸钠计)。</w:t>
      </w:r>
    </w:p>
    <w:p>
      <w:pPr>
        <w:pStyle w:val="15"/>
        <w:rPr>
          <w:lang w:val="en-US" w:eastAsia="zh-CN"/>
          <w:highlight w:val="auto"/>
        </w:rPr>
      </w:pP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食用农产品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 《食品安全国家标准 食品添加剂使用标准》；农业农村部公告 第 250 号《食品动物中禁止使用的药品及其他化合物清单》；GB 31650-2019 《食品安全国家标准食品中兽药最大残留限量》；GB 31650.1-2022 《食品安全国家标准 食品中 41 种兽药最大残留限量》；GB 2762-2022 《食品安全国家标准 食品中污染物限量》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淡水虾制品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检验项目包括镉 (以 Cd 计)、二氧化硫残留量、孔雀石绿（孔雀石绿及其代谢物隐色孔雀石绿残留量之和，以孔雀石绿计）、氯霉素、氟苯尼考（以氟苯尼考和氟苯尼考胺之和计）、呋喃唑酮代谢物、呋喃它酮代谢物、呋喃妥因代谢物、恩诺沙星（恩诺沙星与环丙沙星之和）、五氯酚酸钠(以五氯酚计)、土霉素/金霉素/四环素(组合含量)、诺氟沙星。</w:t>
      </w:r>
    </w:p>
    <w:p>
      <w:pPr>
        <w:rPr>
          <w:lang w:val="en-US" w:eastAsia="zh-CN"/>
          <w:highlight w:val="auto"/>
        </w:rPr>
      </w:pP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薯类和膨化食品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2760-2014《食品安全国家标准 食品添加剂使用标准》；GB 2762-2022《食品安全国家标准 食品中污染物限量》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干制薯类制品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检验项目包括铅(以Pb计)、二氧化硫残留量、苯甲酸及其钠盐（以苯甲酸计）、山梨酸及其钾盐（以山梨酸计） 、糖精钠(以糖精计)、脱氢乙酸及其钠盐(以脱氢乙酸计)。</w:t>
      </w:r>
    </w:p>
    <w:p>
      <w:pPr>
        <w:pStyle w:val="15"/>
        <w:rPr>
          <w:lang w:val="en-US" w:eastAsia="zh-CN"/>
          <w:highlight w:val="auto"/>
        </w:rPr>
      </w:pP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水果制品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2760-2014《食品安全国家标准 食品添加剂使用标准》；GB 2762-2022《食品安全国家标准 食品中污染物限量》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蜜饯类、凉果类、果脯类、话化类、果糕类制品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检验项目包括铅(以Pb计)、二氧化硫残留量、苯甲酸及其钠盐（以苯甲酸计）、山梨酸及其钾盐（以山梨酸计） 、糖精钠(以糖精计)、脱氢乙酸及其钠盐(以脱氢乙酸计)。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速冻食品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2760-2014《食品安全国家标准 食品添加剂使用标准》；GB 2762-2022《食品安全国家标准 食品中污染物限量》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等标准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速冻调理肉制品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检验项目包括铅(以Pb计)、苯甲酸及其钠盐（以苯甲酸计）、山梨酸及其钾盐（以山梨酸计）。</w:t>
      </w:r>
    </w:p>
    <w:p>
      <w:pPr>
        <w:numPr>
          <w:ilvl w:val="0"/>
          <w:numId w:val="2"/>
        </w:numPr>
        <w:adjustRightInd w:val="0"/>
        <w:spacing w:line="600" w:lineRule="exact"/>
        <w:ind w:left="0" w:firstLine="420"/>
        <w:outlineLvl w:val="0"/>
        <w:rPr>
          <w:rFonts w:ascii="Times New Roman" w:eastAsia="黑体" w:cs="Times New Roman" w:hAnsi="Times New Roman" w:hint="eastAsia"/>
          <w:b/>
          <w:bCs/>
          <w:sz w:val="32"/>
          <w:szCs w:val="32"/>
          <w:highlight w:val="auto"/>
        </w:rPr>
      </w:pPr>
      <w:r>
        <w:rPr>
          <w:rFonts w:ascii="Times New Roman" w:eastAsia="黑体" w:cs="Times New Roman" w:hAnsi="Times New Roman" w:hint="eastAsia"/>
          <w:b/>
          <w:bCs/>
          <w:sz w:val="32"/>
          <w:szCs w:val="32"/>
          <w:lang w:val="en-US" w:eastAsia="zh-CN"/>
          <w:highlight w:val="auto"/>
        </w:rPr>
        <w:t>饮料</w:t>
      </w:r>
    </w:p>
    <w:p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（一）抽检依据</w:t>
      </w:r>
    </w:p>
    <w:p>
      <w:pPr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kern w:val="0"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GB 19298-2014《食品安全国家标准包装饮用水》；GB 2762-2022《食品安全国家标准据食品中污染物限量》。</w:t>
      </w:r>
    </w:p>
    <w:p>
      <w:pPr>
        <w:adjustRightInd w:val="0"/>
        <w:spacing w:line="600" w:lineRule="exact"/>
        <w:ind w:leftChars="200" w:left="420" w:firstLineChars="100" w:firstLine="320"/>
        <w:outlineLvl w:val="1"/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（</w:t>
      </w:r>
      <w:r>
        <w:rPr>
          <w:rFonts w:ascii="Times New Roman" w:eastAsia="楷体_GB2312" w:cs="Times New Roman" w:hAnsi="Times New Roman" w:hint="eastAsia"/>
          <w:bCs/>
          <w:sz w:val="32"/>
          <w:szCs w:val="32"/>
          <w:lang w:eastAsia="zh-CN"/>
          <w:highlight w:val="auto"/>
        </w:rPr>
        <w:t>二</w:t>
      </w:r>
      <w:r>
        <w:rPr>
          <w:rFonts w:ascii="Times New Roman" w:eastAsia="楷体_GB2312" w:cs="Times New Roman" w:hAnsi="Times New Roman"/>
          <w:bCs/>
          <w:sz w:val="32"/>
          <w:szCs w:val="32"/>
          <w:highlight w:val="auto"/>
        </w:rPr>
        <w:t>）检验项目</w:t>
      </w:r>
    </w:p>
    <w:p>
      <w:pPr>
        <w:adjustRightInd w:val="0"/>
        <w:spacing w:line="600" w:lineRule="exact"/>
        <w:ind w:firstLineChars="200" w:firstLine="640"/>
        <w:rPr>
          <w:lang w:val="en-US" w:eastAsia="zh-CN"/>
          <w:highlight w:val="auto"/>
        </w:rPr>
        <w:sectPr>
          <w:footerReference w:type="default" r:id="rId2"/>
          <w:pgSz w:w="11906" w:h="16838"/>
          <w:pgMar w:top="1440" w:right="1803" w:bottom="1440" w:left="1803" w:header="851" w:footer="992" w:gutter="0"/>
          <w:pgNumType/>
          <w:rtlGutter/>
          <w:docGrid w:type="lines" w:linePitch="319" w:charSpace="0"/>
        </w:sectPr>
      </w:pP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val="en-US" w:eastAsia="zh-CN"/>
          <w:highlight w:val="auto"/>
        </w:rPr>
        <w:t>速冻调理肉制品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lang w:eastAsia="zh-CN"/>
          <w:highlight w:val="auto"/>
        </w:rPr>
        <w:t>检验项目包括亚硝酸盐（以 NO2 - 计）、耗氧量（以 O2计）、3铅 (以 Pb 计)、镉 (以 Cd 计)、余氯（游离氯）、大肠菌群、铜绿假单胞菌。</w:t>
      </w:r>
    </w:p>
    <w:p>
      <w:pPr>
        <w:rPr>
          <w:highlight w:val="auto"/>
        </w:rPr>
        <w:sectPr>
          <w:footerReference w:type="default" r:id="rId3"/>
          <w:pgSz w:w="11906" w:h="16838"/>
          <w:pgMar w:top="1440" w:right="1803" w:bottom="1440" w:left="1803" w:header="851" w:footer="992" w:gutter="0"/>
          <w:pgNumType/>
          <w:rtlGutter/>
          <w:docGrid w:type="lines" w:linePitch="319" w:charSpace="0"/>
        </w:sectPr>
      </w:pPr>
    </w:p>
    <w:p>
      <w:pPr>
        <w:pageBreakBefore/>
        <w:widowControl w:val="0"/>
        <w:adjustRightInd w:val="0"/>
        <w:spacing w:line="600" w:lineRule="exact"/>
        <w:rPr>
          <w:rFonts w:ascii="Times New Roman" w:eastAsia="黑体" w:cs="Times New Roman" w:hAnsi="Times New Roman"/>
          <w:sz w:val="32"/>
          <w:szCs w:val="32"/>
          <w:highlight w:val="auto"/>
        </w:rPr>
      </w:pPr>
      <w:r>
        <w:rPr>
          <w:rFonts w:ascii="Times New Roman" w:eastAsia="黑体" w:cs="Times New Roman" w:hAnsi="Times New Roman"/>
          <w:sz w:val="32"/>
          <w:szCs w:val="32"/>
          <w:highlight w:val="auto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  <w:highlight w:val="auto"/>
        </w:rPr>
        <w:t>2</w:t>
      </w:r>
    </w:p>
    <w:p>
      <w:pPr>
        <w:jc w:val="center"/>
        <w:rPr>
          <w:rFonts w:ascii="仿宋_GB2312" w:eastAsia="仿宋_GB2312" w:cs="宋体" w:hAnsi="宋体" w:hint="eastAsia"/>
          <w:color w:val="000000"/>
          <w:kern w:val="0"/>
          <w:sz w:val="32"/>
          <w:szCs w:val="32"/>
          <w:highlight w:val="auto"/>
        </w:rPr>
      </w:pPr>
      <w:r>
        <w:rPr>
          <w:rFonts w:ascii="宋体" w:eastAsia="宋体" w:cs="宋体" w:hAnsi="宋体" w:hint="eastAsia"/>
          <w:color w:val="000000"/>
          <w:kern w:val="0"/>
          <w:sz w:val="44"/>
          <w:szCs w:val="44"/>
          <w:highlight w:val="auto"/>
        </w:rPr>
        <w:t>食品安全监督抽检产品合格信息</w:t>
      </w:r>
      <w:r>
        <w:rPr>
          <w:rFonts w:ascii="宋体" w:eastAsia="宋体" w:cs="宋体" w:hAnsi="宋体" w:hint="eastAsia"/>
          <w:color w:val="000000"/>
          <w:kern w:val="0"/>
          <w:sz w:val="22"/>
          <w:highlight w:val="auto"/>
        </w:rPr>
        <w:br/>
      </w:r>
      <w:r>
        <w:rPr>
          <w:rFonts w:ascii="仿宋_GB2312" w:eastAsia="仿宋_GB2312" w:cs="宋体" w:hAnsi="宋体" w:hint="eastAsia"/>
          <w:color w:val="000000"/>
          <w:kern w:val="0"/>
          <w:sz w:val="32"/>
          <w:szCs w:val="32"/>
          <w:highlight w:val="auto"/>
        </w:rPr>
        <w:t>（声明：以下信息仅指本次抽检标称的生产企业相关产品的生产日期/批号和所检项目）</w:t>
      </w:r>
    </w:p>
    <w:p>
      <w:pPr>
        <w:jc w:val="center"/>
        <w:rPr>
          <w:highlight w:val="auto"/>
        </w:rPr>
      </w:pPr>
    </w:p>
    <w:tbl>
      <w:tblPr>
        <w:jc w:val="left"/>
        <w:tblInd w:w="96" w:type="dxa"/>
        <w:tblW w:w="13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66"/>
        <w:gridCol w:w="1597"/>
        <w:gridCol w:w="1625"/>
        <w:gridCol w:w="1562"/>
        <w:gridCol w:w="1125"/>
        <w:gridCol w:w="1463"/>
        <w:gridCol w:w="1425"/>
        <w:gridCol w:w="1762"/>
        <w:gridCol w:w="1118"/>
      </w:tblGrid>
      <w:tr>
        <w:trPr>
          <w:trHeight w:val="935"/>
          <w:tblHeader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序号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标称生产企业名称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标称生产企业地址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被抽样单位名称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被抽样单位所在省份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食品名称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规格型号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生产日期/批号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检验机构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备注</w:t>
            </w:r>
          </w:p>
        </w:tc>
      </w:tr>
      <w:tr>
        <w:trPr>
          <w:trHeight w:val="1075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榨菜芯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40克/袋（固形物≥85%）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2024-03-01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174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乐至县鹏宇蔬菜加工厂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乐至县鹏宇蔬菜加工厂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四川省资阳市乐至县中天镇中天社区10组83号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爽口菜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400g/袋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2024-02-18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006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四川冰泉水业有限公司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四川省资阳市乐至县中和场镇太平村6组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四川冰泉水业有限公司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四川省资阳市乐至县中和场镇太平村6组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冰泉水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18.9L/桶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2024-03-05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400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国灿榨菜丝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287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爽口菜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200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成都意鸣堂食品有限公司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成都市崇州经济开发区世纪大道1135号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郫都区碳碳烤兔餐饮店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四川省成都市郫都区郫筒街道望丛东路125号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红柳大串（速冻调制生制品）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计量称重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2023-10-15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63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新都区新民镇万事达副食配送部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成都市新都区新民镇石庵村5组34号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桃片（盒装）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256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成都市享口福食品有限公司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成都市新都区龙桥镇龙兴大道120号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筠连县张忠德小吃店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四川省宜宾市筠连县巡司镇不夜城1号商亭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红糖锅盔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2023-09-28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93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唐山市丰南区福丽德速冻食品厂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/河北省唐山市丰南区黄各庄镇郝庄子村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筠连县张忠德小吃店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四川省宜宾市筠连县巡司镇不夜城1号商亭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鲜肉包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2023-09-08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8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资中县仟益食品厂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资中县金李井镇新胜街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衡水市东袖食品有限公司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河北省衡水市武强县平安路食品城西北角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糖桔饼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68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威远县蜀香园食品有限公司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四川省内江市威远县东联镇档竹湾村11社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新都区新民镇万事达副食配送部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成都市新都区新民镇石庵村5组34号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花生酥条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69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威远县蜀香园食品有限公司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四川省内江市威远县东联镇档竹湾村11社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新都区新民镇万事达副食配送部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成都市新都区新民镇石庵村5组34号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趣味酥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775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彭州市九尺陈彬板鸭店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彭州市九尺镇九兴中路138、140号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板鸭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63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四川省康来食品有限公司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绵竹市新市镇两河口村五组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腊排骨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93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乐至县蒋孝蓉干杂店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四川省资阳市乐至县天池镇昌盛街32号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干笋子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2023-01-15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856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乐至县孙先淑干杂店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乐至县天池镇昌盛街11号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干百合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2023-02-15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13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乐至县杨欣干杂店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四川省资阳市乐至县川鄂东路223号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干黄花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2023-02-15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8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乐至县乐安路李海椒干杂店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四川省资阳市乐至县天池镇乐安路31号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干黄花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2023-09-15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28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乐至县杨胜德副食店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四川省资阳市乐至县通旅镇商贸街55号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干黄花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2023-10-31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125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爽口菜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225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乐至县大靖轩食品有限责任公司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四川省资阳市乐至县中天镇农副产品加工园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国灿榨菜丝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638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鱼酸菜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400克/袋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2023-10-26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91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泡小米辣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500克/袋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2023-10-22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71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四川省川龙酿造食品有限公司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乐至县中天镇中央街村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红油豆瓣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500克/瓶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094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乐至县清溪园食品有限公司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乐至县中天镇普照村六社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乐至县清溪园食品有限公司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乐至县中天镇普照村六社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鱼酸菜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2kg/袋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2023-11-06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018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洁康消毒餐具配送中心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乐至县蚕种场内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乐至县姜仔鸭火锅店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四川省资阳市乐至县南塔街道胜利街二段62号附2号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洁康（餐具）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2023-10-10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068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乐至县炊石锅香辣鸭餐饮店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四川省资阳市乐至县天池镇帅乡大道18、20、22号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基围虾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2023-09-26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38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乐至县洁康消毒餐具配送中心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乐至县蚕禾中场内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乐至县鲜吃石头鱼店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四川省资阳市乐至县天池街道鼓悦大道183号一品天下乐至城市会客厅2幢1层1-51号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消毒餐具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2023-09-23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</w:tbl>
    <w:p>
      <w:pPr>
        <w:pageBreakBefore/>
        <w:widowControl w:val="0"/>
        <w:adjustRightInd w:val="0"/>
        <w:spacing w:line="600" w:lineRule="exact"/>
        <w:rPr>
          <w:rFonts w:ascii="Times New Roman" w:eastAsia="黑体" w:cs="Times New Roman" w:hAnsi="Times New Roman" w:hint="eastAsia"/>
          <w:sz w:val="32"/>
          <w:szCs w:val="32"/>
          <w:lang w:val="en-US" w:eastAsia="zh-CN"/>
          <w:highlight w:val="auto"/>
        </w:rPr>
      </w:pPr>
      <w:r>
        <w:rPr>
          <w:rFonts w:ascii="Times New Roman" w:eastAsia="黑体" w:cs="Times New Roman" w:hAnsi="Times New Roman"/>
          <w:sz w:val="32"/>
          <w:szCs w:val="32"/>
          <w:highlight w:val="auto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  <w:highlight w:val="auto"/>
        </w:rPr>
        <w:t>3</w:t>
      </w:r>
    </w:p>
    <w:p>
      <w:pPr>
        <w:jc w:val="center"/>
        <w:rPr>
          <w:rFonts w:ascii="宋体" w:eastAsia="宋体" w:cs="宋体" w:hAnsi="宋体" w:hint="eastAsia"/>
          <w:b/>
          <w:bCs/>
          <w:color w:val="000000"/>
          <w:kern w:val="0"/>
          <w:sz w:val="44"/>
          <w:szCs w:val="44"/>
          <w:lang w:eastAsia="zh-CN"/>
          <w:highlight w:val="auto"/>
        </w:rPr>
      </w:pPr>
      <w:r>
        <w:rPr>
          <w:rFonts w:ascii="宋体" w:eastAsia="宋体" w:cs="宋体" w:hAnsi="宋体" w:hint="eastAsia"/>
          <w:b/>
          <w:bCs/>
          <w:color w:val="000000"/>
          <w:kern w:val="0"/>
          <w:sz w:val="44"/>
          <w:szCs w:val="44"/>
          <w:highlight w:val="auto"/>
        </w:rPr>
        <w:t>食品安全监督抽检不合格产品信息</w:t>
      </w:r>
    </w:p>
    <w:p>
      <w:pPr>
        <w:jc w:val="center"/>
        <w:rPr>
          <w:rFonts w:ascii="仿宋_GB2312" w:eastAsia="仿宋_GB2312" w:cs="宋体" w:hAnsi="宋体" w:hint="eastAsia"/>
          <w:color w:val="000000"/>
          <w:kern w:val="0"/>
          <w:sz w:val="32"/>
          <w:szCs w:val="32"/>
          <w:highlight w:val="auto"/>
        </w:rPr>
      </w:pPr>
      <w:r>
        <w:rPr>
          <w:rFonts w:ascii="仿宋_GB2312" w:eastAsia="仿宋_GB2312" w:cs="宋体" w:hAnsi="宋体" w:hint="eastAsia"/>
          <w:color w:val="000000"/>
          <w:kern w:val="0"/>
          <w:sz w:val="32"/>
          <w:szCs w:val="32"/>
          <w:highlight w:val="auto"/>
        </w:rPr>
        <w:t>（声明：以下信息仅指本次抽检标称的生产企业相关产品的生产日期/批号和所检项目）</w:t>
      </w:r>
    </w:p>
    <w:tbl>
      <w:tblPr>
        <w:jc w:val="center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26"/>
        <w:gridCol w:w="1200"/>
        <w:gridCol w:w="1200"/>
        <w:gridCol w:w="1200"/>
        <w:gridCol w:w="1200"/>
        <w:gridCol w:w="1654"/>
        <w:gridCol w:w="2335"/>
        <w:gridCol w:w="1200"/>
        <w:gridCol w:w="1201"/>
      </w:tblGrid>
      <w:tr>
        <w:trPr>
          <w:trHeight w:val="109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标称生产企业名称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标称生产企业地址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被抽样单位名称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被抽样单位地址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食品名称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规格型号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生产日期/批号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不合格项目‖检验结果‖标准值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检验机构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备注</w:t>
            </w:r>
          </w:p>
        </w:tc>
      </w:tr>
      <w:tr>
        <w:trPr>
          <w:trHeight w:val="156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新都区新民镇万事达副食配送部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成都市新都区新民镇石庵村5组34号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柿饼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二氧化硫残留量║0.204g/kg║≤0.1g/kg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1968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连城县佳佳昇食品有限公司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福建省龙岩市连城县隔川乡联益村路226号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衡水市东袖食品有限公司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河北省衡水市武强县平安路食品城西北角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地瓜干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散装称重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2023-12-01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二氧化硫残留量║0.572g/kg║≤0.35g/kg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赛旺检验检测认证有限公司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</w:tbl>
    <w:p>
      <w:pPr>
        <w:rPr>
          <w:highlight w:val="auto"/>
        </w:rPr>
        <w:sectPr>
          <w:pgSz w:w="16838" w:h="11906" w:orient="landscape"/>
          <w:pgMar w:top="1803" w:right="1440" w:bottom="1803" w:left="1440" w:header="851" w:footer="992" w:gutter="0"/>
          <w:pgNumType/>
          <w:rtlGutter/>
          <w:docGrid w:type="lines" w:linePitch="319" w:charSpace="0"/>
        </w:sectPr>
      </w:pPr>
    </w:p>
    <w:p>
      <w:pPr>
        <w:adjustRightInd w:val="0"/>
        <w:spacing w:line="600" w:lineRule="exact"/>
        <w:rPr>
          <w:lang w:val="en-US"/>
          <w:highlight w:val="auto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  <w:highlight w:val="auto"/>
        </w:rPr>
        <w:t>附件</w:t>
      </w:r>
      <w:r>
        <w:rPr>
          <w:rFonts w:ascii="Times New Roman" w:eastAsia="黑体" w:hAnsi="Times New Roman" w:hint="eastAsia"/>
          <w:sz w:val="32"/>
          <w:szCs w:val="32"/>
          <w:lang w:val="en-US" w:eastAsia="zh-CN"/>
          <w:highlight w:val="auto"/>
        </w:rPr>
        <w:t>4</w:t>
      </w:r>
    </w:p>
    <w:p>
      <w:pPr>
        <w:spacing w:line="600" w:lineRule="exact"/>
        <w:jc w:val="center"/>
        <w:rPr>
          <w:rFonts w:ascii="方正小标宋_GBK" w:eastAsia="方正小标宋_GBK" w:cs="方正小标宋_GBK" w:hAnsi="方正小标宋_GBK" w:hint="eastAsia"/>
          <w:sz w:val="44"/>
          <w:szCs w:val="44"/>
          <w:highlight w:val="auto"/>
        </w:rPr>
      </w:pPr>
      <w:r>
        <w:rPr>
          <w:rStyle w:val="19"/>
          <w:rFonts w:ascii="方正小标宋_GBK" w:eastAsia="方正小标宋_GBK" w:cs="方正小标宋_GBK" w:hAnsi="方正小标宋_GBK" w:hint="eastAsia"/>
          <w:sz w:val="44"/>
          <w:szCs w:val="44"/>
          <w:highlight w:val="auto"/>
        </w:rPr>
        <w:t>不合格项目解读</w:t>
      </w:r>
    </w:p>
    <w:p>
      <w:pPr>
        <w:numPr>
          <w:ilvl w:val="0"/>
          <w:numId w:val="3"/>
        </w:numPr>
        <w:spacing w:line="600" w:lineRule="exact"/>
        <w:ind w:left="0" w:firstLine="420"/>
        <w:outlineLvl w:val="0"/>
        <w:rPr>
          <w:rFonts w:ascii="仿宋" w:eastAsia="仿宋" w:cs="仿宋" w:hAnsi="仿宋" w:hint="eastAsia"/>
          <w:sz w:val="32"/>
          <w:szCs w:val="32"/>
          <w:lang w:eastAsia="zh-CN"/>
          <w:highlight w:val="auto"/>
        </w:rPr>
      </w:pPr>
      <w:r>
        <w:rPr>
          <w:rFonts w:ascii="黑体" w:eastAsia="黑体" w:cs="Times New Roman" w:hAnsi="黑体" w:hint="eastAsia"/>
          <w:sz w:val="32"/>
          <w:szCs w:val="32"/>
          <w:lang w:val="en-US" w:eastAsia="zh-CN"/>
          <w:highlight w:val="auto"/>
        </w:rPr>
        <w:t>柿饼、地瓜干</w:t>
      </w:r>
      <w:r>
        <w:rPr>
          <w:rFonts w:ascii="黑体" w:eastAsia="黑体" w:cs="Times New Roman" w:hAnsi="黑体" w:hint="eastAsia"/>
          <w:sz w:val="32"/>
          <w:szCs w:val="32"/>
          <w:lang w:eastAsia="zh-CN"/>
          <w:highlight w:val="auto"/>
        </w:rPr>
        <w:t>不合格项目</w:t>
      </w:r>
      <w:r>
        <w:rPr>
          <w:rFonts w:ascii="黑体" w:eastAsia="黑体" w:cs="Times New Roman" w:hAnsi="黑体" w:hint="eastAsia"/>
          <w:sz w:val="32"/>
          <w:szCs w:val="32"/>
          <w:lang w:val="en-US" w:eastAsia="zh-CN"/>
          <w:highlight w:val="auto"/>
        </w:rPr>
        <w:t>二氧化硫残留量</w:t>
      </w:r>
      <w:r>
        <w:rPr>
          <w:rFonts w:ascii="黑体" w:eastAsia="黑体" w:cs="Times New Roman" w:hAnsi="黑体" w:hint="eastAsia"/>
          <w:sz w:val="32"/>
          <w:szCs w:val="32"/>
          <w:lang w:eastAsia="zh-CN"/>
          <w:highlight w:val="auto"/>
        </w:rPr>
        <w:t>解读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ascii="仿宋" w:eastAsia="仿宋" w:cs="仿宋" w:hAnsi="仿宋" w:hint="eastAsia"/>
          <w:sz w:val="32"/>
          <w:szCs w:val="32"/>
          <w:highlight w:val="auto"/>
        </w:rPr>
      </w:pPr>
      <w:r>
        <w:rPr>
          <w:rFonts w:ascii="仿宋" w:eastAsia="仿宋" w:cs="仿宋" w:hAnsi="仿宋" w:hint="eastAsia"/>
          <w:sz w:val="32"/>
          <w:szCs w:val="32"/>
          <w:highlight w:val="auto"/>
        </w:rPr>
        <w:t>二氧化硫、焦亚硫酸钾、亚硫酸钠是食品加工中常用的漂白剂和防腐剂，使用后会产生二氧化硫残留。二氧化硫进入人体后最终转化为硫酸盐并随尿液排出体外，少量摄入不会对身体带来健康危害，但若过量食用可能引起如恶心、呕吐等胃肠道反应，其毒性主要表现为经职业接触所引起的急慢性危害。急性中毒可引起眼、鼻、黏膜刺激症状，严重时产生喉头痉挛、喉头水肿、支气管痉挛, 大量吸入可引起肺水肿、窒息、昏迷甚至死亡。长期小剂量接触空气中的二氧化硫, 会导致嗅觉迟钝、慢性鼻炎、支气管炎、肺通气功能和免疫功能下降等。严重者可引起肺部弥漫性间质纤维化和中毒性肺硬变。</w:t>
      </w:r>
    </w:p>
    <w:sectPr>
      <w:pgSz w:w="11906" w:h="16838"/>
      <w:pgMar w:top="1440" w:right="1803" w:bottom="1440" w:left="1803" w:header="851" w:footer="992" w:gutter="0"/>
      <w:pgNumType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CC"/>
    <w:family w:val="modern"/>
    <w:pitch w:val="variable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宋体">
    <w:altName w:val="方正书宋_GBK"/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仿宋_GB2312">
    <w:altName w:val="永中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永中楷体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4195" cy="188594"/>
              <wp:effectExtent l="0" t="0" r="0" b="0"/>
              <wp:wrapNone/>
              <wp:docPr id="1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4195" cy="18859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4 3" o:spid="_x0000_s3" filled="f" stroked="f" style="position:absolute;margin-left:0.0pt;margin-top:0.0pt;width:50.724022pt;height:14.849994pt;z-index:13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6889" cy="188594"/>
              <wp:effectExtent l="0" t="0" r="0" b="0"/>
              <wp:wrapNone/>
              <wp:docPr id="4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16889" cy="18859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6" o:spid="_x0000_s6" filled="f" stroked="f" style="position:absolute;margin-left:0.0pt;margin-top:0.0pt;width:56.447994pt;height:14.849994pt;z-index:15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82521942"/>
    <w:multiLevelType w:val="singleLevel"/>
    <w:tmpl w:val="82521942"/>
    <w:lvl w:ilvl="0">
      <w:start w:val="2"/>
      <w:numFmt w:val="decimal"/>
      <w:lvlRestart w:val="0"/>
      <w:suff w:val="nothing"/>
      <w:lvlText w:val="%1.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">
    <w:nsid w:val="599FD7AA"/>
    <w:multiLevelType w:val="singleLevel"/>
    <w:tmpl w:val="599FD7AA"/>
    <w:lvl w:ilvl="0">
      <w:start w:val="1"/>
      <w:numFmt w:val="chineseCounting"/>
      <w:lvlRestart w:val="0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B3F6FC4F"/>
    <w:multiLevelType w:val="singleLevel"/>
    <w:tmpl w:val="B3F6FC4F"/>
    <w:lvl w:ilvl="0">
      <w:start w:val="1"/>
      <w:numFmt w:val="chineseCounting"/>
      <w:lvlRestart w:val="0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Yzk1ZWNkMDk0YTJiMWEzNmUxZDk4ZjM5OTYwZGZhMW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jc w:val="both"/>
    </w:pPr>
    <w:rPr>
      <w:rFonts w:ascii="Calibri" w:eastAsia="宋体" w:cs="Arial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/>
      <w:spacing w:line="600" w:lineRule="exact"/>
      <w:jc w:val="center"/>
      <w:outlineLvl w:val="0"/>
    </w:pPr>
    <w:rPr>
      <w:rFonts w:ascii="宋体" w:eastAsia="方正小标宋简体" w:cs="宋体" w:hAnsi="宋体"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0"/>
    <w:pPr>
      <w:spacing w:after="120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autoRedefine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paragraph" w:styleId="18">
    <w:name w:val="header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cs="Arial" w:hAnsi="Times New Roman"/>
      <w:kern w:val="2"/>
      <w:sz w:val="18"/>
      <w:szCs w:val="18"/>
      <w:lang w:val="en-US" w:eastAsia="zh-CN" w:bidi="ar-SA"/>
    </w:rPr>
  </w:style>
  <w:style w:type="character" w:styleId="19">
    <w:name w:val="Strong"/>
    <w:autoRedefine/>
    <w:rPr>
      <w:b/>
      <w:bCs/>
    </w:rPr>
  </w:style>
  <w:style w:type="character" w:customStyle="1" w:styleId="20">
    <w:name w:val="font11"/>
    <w:basedOn w:val="10"/>
    <w:autoRedefine/>
    <w:rPr>
      <w:rFonts w:ascii="宋体" w:eastAsia="宋体" w:cs="宋体" w:hAnsi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Yozo_Office27021597764231179</Application>
  <Pages>17</Pages>
  <Words>0</Words>
  <Characters>4944</Characters>
  <Lines>0</Lines>
  <Paragraphs>103</Paragraphs>
  <CharactersWithSpaces>6592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427</dc:creator>
  <cp:lastModifiedBy>sc040</cp:lastModifiedBy>
  <cp:revision>16</cp:revision>
  <dcterms:created xsi:type="dcterms:W3CDTF">2021-03-03T08:26:00Z</dcterms:created>
  <dcterms:modified xsi:type="dcterms:W3CDTF">2024-04-23T03:07:26Z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2F5AD2C77D0449959383423614EAB548</vt:lpwstr>
  </property>
</Properties>
</file>